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A" w:rsidRDefault="003D4F98" w:rsidP="003D4F98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  <w:bookmarkStart w:id="0" w:name="_GoBack"/>
      <w:bookmarkEnd w:id="0"/>
      <w:r w:rsidRPr="003D4F98">
        <w:rPr>
          <w:rFonts w:eastAsia="Times New Roman"/>
          <w:sz w:val="42"/>
          <w:szCs w:val="42"/>
          <w:lang w:eastAsia="fr-FR"/>
        </w:rPr>
        <w:t>Modèle de convention pour une délégation de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4F98">
        <w:rPr>
          <w:rFonts w:eastAsia="Times New Roman"/>
          <w:sz w:val="42"/>
          <w:szCs w:val="42"/>
          <w:lang w:eastAsia="fr-FR"/>
        </w:rPr>
        <w:t>Service public « bibliothèque » à une association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Entre les soussignés :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La commune .............................................................................................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désignée ci-après par « la Commune », représentée par son Maire, habilité par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délibération du Conseil municipal en date du ____________________, d’une part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Coordonnées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Téléphone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Courriel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et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L’association.............................................................................................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désignée ci-après par « l’Association » représentée par son (sa) Président(e)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habilité(e) par délibération du Conseil d’administration en date du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____________________, d’autre part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Coordonnées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Téléphone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Courriel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Numéro RNA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 xml:space="preserve">Numéro </w:t>
      </w:r>
      <w:proofErr w:type="spellStart"/>
      <w:r w:rsidRPr="00427F3A">
        <w:rPr>
          <w:rFonts w:eastAsia="Times New Roman"/>
          <w:sz w:val="24"/>
          <w:szCs w:val="24"/>
          <w:lang w:eastAsia="fr-FR"/>
        </w:rPr>
        <w:t>Siren</w:t>
      </w:r>
      <w:proofErr w:type="spellEnd"/>
      <w:r w:rsidRPr="00427F3A">
        <w:rPr>
          <w:rFonts w:eastAsia="Times New Roman"/>
          <w:sz w:val="24"/>
          <w:szCs w:val="24"/>
          <w:lang w:eastAsia="fr-FR"/>
        </w:rPr>
        <w:t xml:space="preserve"> et Siret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27F3A" w:rsidRDefault="003D4F98" w:rsidP="00427F3A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427F3A">
        <w:rPr>
          <w:rFonts w:eastAsia="Times New Roman"/>
          <w:b/>
          <w:sz w:val="24"/>
          <w:szCs w:val="24"/>
          <w:lang w:eastAsia="fr-FR"/>
        </w:rPr>
        <w:t>Préambule</w:t>
      </w: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La commune ayant adhéré au Schéma</w:t>
      </w:r>
      <w:r w:rsidR="00427F3A">
        <w:rPr>
          <w:rFonts w:eastAsia="Times New Roman"/>
          <w:sz w:val="24"/>
          <w:szCs w:val="24"/>
          <w:lang w:eastAsia="fr-FR"/>
        </w:rPr>
        <w:t xml:space="preserve"> D</w:t>
      </w:r>
      <w:r w:rsidRPr="00427F3A">
        <w:rPr>
          <w:rFonts w:eastAsia="Times New Roman"/>
          <w:sz w:val="24"/>
          <w:szCs w:val="24"/>
          <w:lang w:eastAsia="fr-FR"/>
        </w:rPr>
        <w:t xml:space="preserve">épartemental de la Lecture </w:t>
      </w:r>
      <w:r w:rsidR="00427F3A">
        <w:rPr>
          <w:rFonts w:eastAsia="Times New Roman"/>
          <w:sz w:val="24"/>
          <w:szCs w:val="24"/>
          <w:lang w:eastAsia="fr-FR"/>
        </w:rPr>
        <w:t>P</w:t>
      </w:r>
      <w:r w:rsidRPr="00427F3A">
        <w:rPr>
          <w:rFonts w:eastAsia="Times New Roman"/>
          <w:sz w:val="24"/>
          <w:szCs w:val="24"/>
          <w:lang w:eastAsia="fr-FR"/>
        </w:rPr>
        <w:t xml:space="preserve">ublique </w:t>
      </w:r>
      <w:r w:rsidR="00427F3A">
        <w:rPr>
          <w:rFonts w:eastAsia="Times New Roman"/>
          <w:sz w:val="24"/>
          <w:szCs w:val="24"/>
          <w:lang w:eastAsia="fr-FR"/>
        </w:rPr>
        <w:t xml:space="preserve">2023/2027 </w:t>
      </w:r>
      <w:r w:rsidR="00000581">
        <w:rPr>
          <w:rFonts w:eastAsia="Times New Roman"/>
          <w:sz w:val="24"/>
          <w:szCs w:val="24"/>
          <w:lang w:eastAsia="fr-FR"/>
        </w:rPr>
        <w:t>en signant le</w:t>
      </w:r>
      <w:r w:rsidR="00427F3A">
        <w:rPr>
          <w:rFonts w:eastAsia="Times New Roman"/>
          <w:sz w:val="24"/>
          <w:szCs w:val="24"/>
          <w:lang w:eastAsia="fr-FR"/>
        </w:rPr>
        <w:t xml:space="preserve"> </w:t>
      </w:r>
      <w:r w:rsidR="00000581">
        <w:rPr>
          <w:rFonts w:eastAsia="Times New Roman"/>
          <w:sz w:val="24"/>
          <w:szCs w:val="24"/>
          <w:lang w:eastAsia="fr-FR"/>
        </w:rPr>
        <w:t>contrat d’objectifs et de moyens</w:t>
      </w:r>
      <w:r w:rsidRPr="00427F3A">
        <w:rPr>
          <w:rFonts w:eastAsia="Times New Roman"/>
          <w:sz w:val="24"/>
          <w:szCs w:val="24"/>
          <w:lang w:eastAsia="fr-FR"/>
        </w:rPr>
        <w:t xml:space="preserve"> avec la Médiathèque départementale de Haute-Loire décide d’établir</w:t>
      </w:r>
      <w:r w:rsidR="00427F3A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une convention avec l’Association afin de déterminer les rôles, les droits et devoirs</w:t>
      </w:r>
      <w:r w:rsidR="00427F3A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de chacune des parties dans la gestion et l’animation de la bibliothèque de la</w:t>
      </w:r>
      <w:r w:rsidR="00427F3A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Commune.</w:t>
      </w:r>
      <w:r w:rsidR="00427F3A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L’objectif commun des deux parties est de développer et promouvoir un service de</w:t>
      </w:r>
      <w:r w:rsidR="00427F3A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la lecture publique et d’une manière plus générale l’accès à la culture, à l’information, à l’éducation, à la recherche, aux savoirs et aux loisirs auprès de l’ensemble des</w:t>
      </w:r>
      <w:r w:rsidR="00427F3A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habitants de la Commune et des environs.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D4F98" w:rsidRPr="003D4F98" w:rsidRDefault="003D4F98" w:rsidP="003D4F98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  <w:r w:rsidRPr="00427F3A">
        <w:rPr>
          <w:rFonts w:eastAsia="Times New Roman"/>
          <w:sz w:val="24"/>
          <w:szCs w:val="24"/>
          <w:lang w:eastAsia="fr-FR"/>
        </w:rPr>
        <w:t xml:space="preserve">Ceci étant exposé, il est convenu ce qui suit : </w:t>
      </w:r>
    </w:p>
    <w:p w:rsidR="00555F17" w:rsidRDefault="003D4F98" w:rsidP="00427F3A">
      <w:pPr>
        <w:spacing w:after="0" w:line="240" w:lineRule="auto"/>
        <w:rPr>
          <w:rFonts w:eastAsia="Times New Roman"/>
          <w:sz w:val="24"/>
          <w:szCs w:val="24"/>
          <w:u w:val="single"/>
          <w:lang w:eastAsia="fr-FR"/>
        </w:rPr>
      </w:pP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b/>
          <w:sz w:val="24"/>
          <w:szCs w:val="24"/>
          <w:lang w:eastAsia="fr-FR"/>
        </w:rPr>
        <w:t>1. Moyens mis à la disposition de l’Association par la Commune</w:t>
      </w: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La Commune met à la disposition de l’Association les moyens désignés ci-après :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C0731" w:rsidRPr="004C0731" w:rsidRDefault="003D4F98" w:rsidP="008F06CF">
      <w:pPr>
        <w:pStyle w:val="Paragraphedelist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fr-FR"/>
        </w:rPr>
      </w:pPr>
      <w:r w:rsidRPr="004C0731">
        <w:rPr>
          <w:rFonts w:eastAsia="Times New Roman"/>
          <w:sz w:val="24"/>
          <w:szCs w:val="24"/>
          <w:u w:val="single"/>
          <w:lang w:eastAsia="fr-FR"/>
        </w:rPr>
        <w:t>Local</w:t>
      </w:r>
      <w:r w:rsidRPr="004C073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</w:r>
      <w:r w:rsidRPr="004C0731">
        <w:rPr>
          <w:rFonts w:eastAsia="Times New Roman"/>
          <w:sz w:val="24"/>
          <w:szCs w:val="24"/>
          <w:lang w:eastAsia="fr-FR"/>
        </w:rPr>
        <w:t>La Commune s’engage à mettre à disposition un local destiné à l’usage exclusif de</w:t>
      </w:r>
      <w:r w:rsidR="00555F17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 xml:space="preserve">la bibliothèque. Ce </w:t>
      </w:r>
      <w:r w:rsidR="00000581" w:rsidRPr="004C0731">
        <w:rPr>
          <w:rFonts w:eastAsia="Times New Roman"/>
          <w:sz w:val="24"/>
          <w:szCs w:val="24"/>
          <w:lang w:eastAsia="fr-FR"/>
        </w:rPr>
        <w:t xml:space="preserve">local est en conformité avec le Contrat d’objectifs et de moyens de </w:t>
      </w:r>
      <w:r w:rsidRPr="004C0731">
        <w:rPr>
          <w:rFonts w:eastAsia="Times New Roman"/>
          <w:sz w:val="24"/>
          <w:szCs w:val="24"/>
          <w:lang w:eastAsia="fr-FR"/>
        </w:rPr>
        <w:t>la Médiathèque départementale ainsi qu’avec les normes de sécurité</w:t>
      </w:r>
      <w:r w:rsidR="00555F17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 xml:space="preserve">et </w:t>
      </w:r>
      <w:r w:rsidR="00555F17" w:rsidRPr="004C0731">
        <w:rPr>
          <w:rFonts w:eastAsia="Times New Roman"/>
          <w:sz w:val="24"/>
          <w:szCs w:val="24"/>
          <w:lang w:eastAsia="fr-FR"/>
        </w:rPr>
        <w:t xml:space="preserve"> d</w:t>
      </w:r>
      <w:r w:rsidRPr="004C0731">
        <w:rPr>
          <w:rFonts w:eastAsia="Times New Roman"/>
          <w:sz w:val="24"/>
          <w:szCs w:val="24"/>
          <w:lang w:eastAsia="fr-FR"/>
        </w:rPr>
        <w:t>’accessibilité en vigueur pour l’accueil du public.</w:t>
      </w:r>
      <w:r w:rsidR="00427F3A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 xml:space="preserve">Outre les charges habituelles du </w:t>
      </w:r>
      <w:r w:rsidR="00555F17" w:rsidRPr="004C0731">
        <w:rPr>
          <w:rFonts w:eastAsia="Times New Roman"/>
          <w:sz w:val="24"/>
          <w:szCs w:val="24"/>
          <w:lang w:eastAsia="fr-FR"/>
        </w:rPr>
        <w:t>p</w:t>
      </w:r>
      <w:r w:rsidRPr="004C0731">
        <w:rPr>
          <w:rFonts w:eastAsia="Times New Roman"/>
          <w:sz w:val="24"/>
          <w:szCs w:val="24"/>
          <w:lang w:eastAsia="fr-FR"/>
        </w:rPr>
        <w:t>ropriétaire, la Commune s’engage à assurer</w:t>
      </w:r>
      <w:r w:rsidR="00427F3A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 xml:space="preserve">l’entretien courant de ce local : </w:t>
      </w:r>
      <w:r w:rsidR="00427F3A" w:rsidRPr="004C0731">
        <w:rPr>
          <w:rFonts w:eastAsia="Times New Roman"/>
          <w:sz w:val="24"/>
          <w:szCs w:val="24"/>
          <w:lang w:eastAsia="fr-FR"/>
        </w:rPr>
        <w:t>c</w:t>
      </w:r>
      <w:r w:rsidRPr="004C0731">
        <w:rPr>
          <w:rFonts w:eastAsia="Times New Roman"/>
          <w:sz w:val="24"/>
          <w:szCs w:val="24"/>
          <w:lang w:eastAsia="fr-FR"/>
        </w:rPr>
        <w:t>hauffage, éclairage, nettoyage...</w:t>
      </w:r>
    </w:p>
    <w:p w:rsidR="004C0731" w:rsidRDefault="004C0731" w:rsidP="008F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06CF" w:rsidRDefault="003D4F98" w:rsidP="008F06CF">
      <w:pPr>
        <w:spacing w:after="0" w:line="240" w:lineRule="auto"/>
        <w:rPr>
          <w:rFonts w:eastAsia="Times New Roman"/>
          <w:sz w:val="24"/>
          <w:szCs w:val="24"/>
          <w:u w:val="single"/>
          <w:lang w:eastAsia="fr-FR"/>
        </w:rPr>
      </w:pPr>
      <w:r w:rsidRPr="004C0731">
        <w:rPr>
          <w:rFonts w:eastAsia="Times New Roman"/>
          <w:sz w:val="24"/>
          <w:szCs w:val="24"/>
          <w:u w:val="single"/>
          <w:lang w:eastAsia="fr-FR"/>
        </w:rPr>
        <w:t>Mobilier et matériel</w:t>
      </w:r>
    </w:p>
    <w:p w:rsidR="004C0731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4C0731">
        <w:rPr>
          <w:rFonts w:eastAsia="Times New Roman"/>
          <w:sz w:val="24"/>
          <w:szCs w:val="24"/>
          <w:lang w:eastAsia="fr-FR"/>
        </w:rPr>
        <w:t>La Commune fournit un aménagement en mobilier et matériel permettant l’accueil</w:t>
      </w:r>
      <w:r w:rsidR="00555F17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du public et l’accès direct aux collections. Tout apport supplémentaire de mobilier et</w:t>
      </w:r>
      <w:r w:rsidR="00555F17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 xml:space="preserve">de </w:t>
      </w:r>
      <w:r w:rsidRPr="004C0731">
        <w:rPr>
          <w:rFonts w:eastAsia="Times New Roman"/>
          <w:sz w:val="24"/>
          <w:szCs w:val="24"/>
          <w:lang w:eastAsia="fr-FR"/>
        </w:rPr>
        <w:lastRenderedPageBreak/>
        <w:t>matériel, toute modification de l’aménagement par l’Association doivent être</w:t>
      </w:r>
      <w:r w:rsidR="00555F17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approuvés par la Commune par le biais d’une annexe (Descriptif en annexe du</w:t>
      </w:r>
      <w:r w:rsidRPr="004C073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C0731">
        <w:rPr>
          <w:rFonts w:eastAsia="Times New Roman"/>
          <w:sz w:val="24"/>
          <w:szCs w:val="24"/>
          <w:lang w:eastAsia="fr-FR"/>
        </w:rPr>
        <w:t>mobilier actuel).</w:t>
      </w:r>
    </w:p>
    <w:p w:rsidR="008F06CF" w:rsidRDefault="008F06CF" w:rsidP="004C0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06CF" w:rsidRDefault="003D4F98" w:rsidP="008F06CF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  <w:r w:rsidRPr="004C0731">
        <w:rPr>
          <w:rFonts w:eastAsia="Times New Roman"/>
          <w:sz w:val="24"/>
          <w:szCs w:val="24"/>
          <w:u w:val="single"/>
          <w:lang w:eastAsia="fr-FR"/>
        </w:rPr>
        <w:t>Subvention</w:t>
      </w:r>
    </w:p>
    <w:p w:rsidR="00427F3A" w:rsidRP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fr-FR"/>
        </w:rPr>
      </w:pPr>
      <w:r w:rsidRPr="004C0731">
        <w:rPr>
          <w:rFonts w:eastAsia="Times New Roman"/>
          <w:sz w:val="24"/>
          <w:szCs w:val="24"/>
          <w:lang w:eastAsia="fr-FR"/>
        </w:rPr>
        <w:t>La Commune verse une subvention annuelle de fonctionnement affectée à l’usage exclusif de la bibliothèque : achat de documents, animation, matériel nécessaire à</w:t>
      </w:r>
      <w:r w:rsid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 xml:space="preserve">l’équipement des documents, frais de déplacement et de </w:t>
      </w:r>
      <w:r w:rsidR="004C0731">
        <w:rPr>
          <w:rFonts w:eastAsia="Times New Roman"/>
          <w:sz w:val="24"/>
          <w:szCs w:val="24"/>
          <w:lang w:eastAsia="fr-FR"/>
        </w:rPr>
        <w:t>r</w:t>
      </w:r>
      <w:r w:rsidRPr="004C0731">
        <w:rPr>
          <w:rFonts w:eastAsia="Times New Roman"/>
          <w:sz w:val="24"/>
          <w:szCs w:val="24"/>
          <w:lang w:eastAsia="fr-FR"/>
        </w:rPr>
        <w:t>estauration liés au</w:t>
      </w:r>
      <w:r w:rsidR="00427F3A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="00000581" w:rsidRPr="004C0731">
        <w:rPr>
          <w:rFonts w:eastAsia="Times New Roman"/>
          <w:sz w:val="24"/>
          <w:szCs w:val="24"/>
          <w:lang w:eastAsia="fr-FR"/>
        </w:rPr>
        <w:t>f</w:t>
      </w:r>
      <w:r w:rsidRPr="004C0731">
        <w:rPr>
          <w:rFonts w:eastAsia="Times New Roman"/>
          <w:sz w:val="24"/>
          <w:szCs w:val="24"/>
          <w:lang w:eastAsia="fr-FR"/>
        </w:rPr>
        <w:t>onctionnement de la bibliothèque en particulier à la formation initiale et continue</w:t>
      </w:r>
      <w:r w:rsid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des membres de l’Association affectés à la gestion de la bibliothèque ainsi qu’’à</w:t>
      </w:r>
      <w:r w:rsid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l’assurance de ceux-ci.</w:t>
      </w:r>
      <w:r w:rsid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Les documents achetés par l’Association pour la bibliothèque sont propriété de la</w:t>
      </w:r>
      <w:r w:rsid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Commune.</w:t>
      </w:r>
      <w:r w:rsid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L’Association s’engage à utiliser les moyens mis à sa disposition par la Commune</w:t>
      </w:r>
      <w:r w:rsidR="00427F3A" w:rsidRP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 xml:space="preserve">(local, mobilier, matériel, subventions) exclusivement pour l’exercice de sa </w:t>
      </w:r>
      <w:r w:rsidR="004C0731">
        <w:rPr>
          <w:rFonts w:eastAsia="Times New Roman"/>
          <w:sz w:val="24"/>
          <w:szCs w:val="24"/>
          <w:lang w:eastAsia="fr-FR"/>
        </w:rPr>
        <w:t>m</w:t>
      </w:r>
      <w:r w:rsidRPr="004C0731">
        <w:rPr>
          <w:rFonts w:eastAsia="Times New Roman"/>
          <w:sz w:val="24"/>
          <w:szCs w:val="24"/>
          <w:lang w:eastAsia="fr-FR"/>
        </w:rPr>
        <w:t>ission</w:t>
      </w:r>
      <w:r w:rsidR="004C0731">
        <w:rPr>
          <w:rFonts w:eastAsia="Times New Roman"/>
          <w:sz w:val="24"/>
          <w:szCs w:val="24"/>
          <w:lang w:eastAsia="fr-FR"/>
        </w:rPr>
        <w:t xml:space="preserve"> </w:t>
      </w:r>
      <w:r w:rsidRPr="004C0731">
        <w:rPr>
          <w:rFonts w:eastAsia="Times New Roman"/>
          <w:sz w:val="24"/>
          <w:szCs w:val="24"/>
          <w:lang w:eastAsia="fr-FR"/>
        </w:rPr>
        <w:t>de service public de bibliothèque.</w:t>
      </w:r>
    </w:p>
    <w:p w:rsidR="008F06CF" w:rsidRDefault="003D4F98" w:rsidP="008F06CF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b/>
          <w:sz w:val="24"/>
          <w:szCs w:val="24"/>
          <w:lang w:eastAsia="fr-FR"/>
        </w:rPr>
        <w:t>2. Assurances</w:t>
      </w:r>
    </w:p>
    <w:p w:rsidR="003D4F98" w:rsidRPr="003D4F98" w:rsidRDefault="003D4F98" w:rsidP="008F06CF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Le bâtiment et son contenu sont assurés par la Commune :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- mobilier et matériel (liste jointe en annexe)</w:t>
      </w:r>
      <w:r w:rsidR="00427F3A">
        <w:rPr>
          <w:rFonts w:eastAsia="Times New Roman"/>
          <w:sz w:val="24"/>
          <w:szCs w:val="24"/>
          <w:lang w:eastAsia="fr-FR"/>
        </w:rPr>
        <w:t> ;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- collections appartenant à la Commune et documents prêtés par la</w:t>
      </w:r>
      <w:r w:rsidR="00427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Médiathèque départementale</w:t>
      </w:r>
      <w:r w:rsidR="00427F3A">
        <w:rPr>
          <w:rFonts w:eastAsia="Times New Roman"/>
          <w:sz w:val="24"/>
          <w:szCs w:val="24"/>
          <w:lang w:eastAsia="fr-FR"/>
        </w:rPr>
        <w:t> ;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- expositions empruntées ou louées à des organismes extérieurs</w:t>
      </w:r>
      <w:r w:rsidR="00427F3A">
        <w:rPr>
          <w:rFonts w:eastAsia="Times New Roman"/>
          <w:sz w:val="24"/>
          <w:szCs w:val="24"/>
          <w:lang w:eastAsia="fr-FR"/>
        </w:rPr>
        <w:t>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Les membres de l’Association affectés à la gestion de la bibliothèque sont assurés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par l’Association.</w:t>
      </w:r>
    </w:p>
    <w:p w:rsidR="003D4F98" w:rsidRPr="00427F3A" w:rsidRDefault="003D4F98" w:rsidP="003D4F98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</w:p>
    <w:p w:rsidR="008F06CF" w:rsidRDefault="003D4F98" w:rsidP="003D4F98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427F3A">
        <w:rPr>
          <w:rFonts w:eastAsia="Times New Roman"/>
          <w:b/>
          <w:sz w:val="24"/>
          <w:szCs w:val="24"/>
          <w:lang w:eastAsia="fr-FR"/>
        </w:rPr>
        <w:t>3. Cotisation d’adhésion à la bibliothèque</w:t>
      </w:r>
    </w:p>
    <w:p w:rsid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La Commune autorise l’Association à percevoir et gérer les cotisations annuelles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acquittées par les lecteurs. Pour rappel, la loi du 21 décembre 2021 relative aux bibliothèques et au développement de la lecture publique conseille de pratiquer la gratuité.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Le montant de ces cotisations sera fixé chaque année d’un commun accord entre la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Commune et l’Association et validé par le Conseil Municipal.</w:t>
      </w:r>
    </w:p>
    <w:p w:rsid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427F3A">
        <w:rPr>
          <w:rFonts w:eastAsia="Times New Roman"/>
          <w:sz w:val="24"/>
          <w:szCs w:val="24"/>
          <w:lang w:eastAsia="fr-FR"/>
        </w:rPr>
        <w:t>Les documents achetés grâce aux recettes provenant des cotisations sont intégrés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à l’inventaire communal et deviennent propriété de la Commune.</w:t>
      </w:r>
    </w:p>
    <w:p w:rsidR="003D4F98" w:rsidRPr="00427F3A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:rsidR="008F06CF" w:rsidRDefault="003D4F98" w:rsidP="003D4F98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427F3A">
        <w:rPr>
          <w:rFonts w:eastAsia="Times New Roman"/>
          <w:b/>
          <w:sz w:val="24"/>
          <w:szCs w:val="24"/>
          <w:lang w:eastAsia="fr-FR"/>
        </w:rPr>
        <w:t>4. Accès à la bibliothèque</w:t>
      </w:r>
    </w:p>
    <w:p w:rsid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L’association s’engage à ouvrir la bibliothèque aux publics aux conditions définies à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000581">
        <w:rPr>
          <w:rFonts w:eastAsia="Times New Roman"/>
          <w:sz w:val="24"/>
          <w:szCs w:val="24"/>
          <w:lang w:eastAsia="fr-FR"/>
        </w:rPr>
        <w:t>minima par le Contrat d’objectifs et de moyens signé</w:t>
      </w:r>
      <w:r w:rsidRPr="00427F3A">
        <w:rPr>
          <w:rFonts w:eastAsia="Times New Roman"/>
          <w:sz w:val="24"/>
          <w:szCs w:val="24"/>
          <w:lang w:eastAsia="fr-FR"/>
        </w:rPr>
        <w:t xml:space="preserve"> avec la Médiathèque</w:t>
      </w:r>
      <w:r w:rsidR="00000581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départementale de Haute-Loire.</w:t>
      </w:r>
    </w:p>
    <w:p w:rsid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427F3A">
        <w:rPr>
          <w:rFonts w:eastAsia="Times New Roman"/>
          <w:sz w:val="24"/>
          <w:szCs w:val="24"/>
          <w:lang w:eastAsia="fr-FR"/>
        </w:rPr>
        <w:t>Elle s’engage à ouvrir la bibliothèque aux publics aux conditions définies dans le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règlement intérieur, sans nécessité d’une éventuelle adhésion à l’association elle-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même.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Le règlement intérieur est proposé par le Comité de gestion (article 5) amendé par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le conseil d’administration de l’Association, validé et adopté par le Conseil municipal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de la Commune.</w:t>
      </w:r>
    </w:p>
    <w:p w:rsidR="003D4F98" w:rsidRPr="00427F3A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427F3A">
        <w:rPr>
          <w:rFonts w:eastAsia="Times New Roman"/>
          <w:sz w:val="24"/>
          <w:szCs w:val="24"/>
          <w:lang w:eastAsia="fr-FR"/>
        </w:rPr>
        <w:t>L’Association s’engage à favoriser l’application du Schéma Départemental de la Lecture Publique. Pour ce faire</w:t>
      </w:r>
      <w:r w:rsidR="00427F3A">
        <w:rPr>
          <w:rFonts w:eastAsia="Times New Roman"/>
          <w:sz w:val="24"/>
          <w:szCs w:val="24"/>
          <w:lang w:eastAsia="fr-FR"/>
        </w:rPr>
        <w:t>,</w:t>
      </w:r>
      <w:r w:rsidRPr="00427F3A">
        <w:rPr>
          <w:rFonts w:eastAsia="Times New Roman"/>
          <w:sz w:val="24"/>
          <w:szCs w:val="24"/>
          <w:lang w:eastAsia="fr-FR"/>
        </w:rPr>
        <w:t xml:space="preserve"> l’Association facilitera l’accès à la formation de ses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membres affectés à la gestion de la bibliothèque.</w:t>
      </w:r>
    </w:p>
    <w:p w:rsidR="008F06CF" w:rsidRDefault="003D4F98" w:rsidP="003D4F98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427F3A">
        <w:rPr>
          <w:rFonts w:eastAsia="Times New Roman"/>
          <w:b/>
          <w:sz w:val="24"/>
          <w:szCs w:val="24"/>
          <w:lang w:eastAsia="fr-FR"/>
        </w:rPr>
        <w:lastRenderedPageBreak/>
        <w:t>5. Gestion de la bibliothèque</w:t>
      </w:r>
    </w:p>
    <w:p w:rsid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L’Association sépare la gestion de la bibliothèque de celle de ses autres activités.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Elle s’engage à créer un comité de gestion de la bibliothèque composé d’un</w:t>
      </w:r>
      <w:r w:rsidR="00000581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représentant élu de la Commune, d’un représentant de l’Association, du</w:t>
      </w:r>
      <w:r w:rsidR="00000581">
        <w:rPr>
          <w:rFonts w:eastAsia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responsable et des animateurs de la bibliothèque et de représentants des usagers.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Le comité de gestion ne se substitue pas aux organismes délibérants : Conseil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municipal, Conseil d’administration de l’Association. A ce titre, il n’approuve ni ne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décide, il préparer les dossiers (budget, orientations) et exécute les décisions des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signataires de la présente convention.</w:t>
      </w:r>
    </w:p>
    <w:p w:rsidR="003D4F98" w:rsidRPr="003D4F98" w:rsidRDefault="003D4F98" w:rsidP="008F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7F3A">
        <w:rPr>
          <w:rFonts w:eastAsia="Times New Roman"/>
          <w:sz w:val="24"/>
          <w:szCs w:val="24"/>
          <w:lang w:eastAsia="fr-FR"/>
        </w:rPr>
        <w:t>Le comité de gestion se réunit au moins deux fois par an pour la préparation du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budget et la préparation du bilan annuel d’activités, sur convocation du Maire et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après avis du Président de l’Association.</w:t>
      </w:r>
    </w:p>
    <w:p w:rsidR="008F06CF" w:rsidRDefault="003D4F98" w:rsidP="003D4F98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b/>
          <w:sz w:val="24"/>
          <w:szCs w:val="24"/>
          <w:lang w:eastAsia="fr-FR"/>
        </w:rPr>
        <w:t>6. Statistiques annuelles</w:t>
      </w:r>
    </w:p>
    <w:p w:rsid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L’Association s’engage à tenir des statistiques sur l’activité de la bibliothèque afin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de pouvoir remplir chaque année le rapport annuel demandé par la Médiathèque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départementale et le Ministère de la Culture. Ce rapport est signé par le Maire, le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Président de l’Association et le responsable de la bibliothèque.</w:t>
      </w:r>
    </w:p>
    <w:p w:rsidR="003D4F98" w:rsidRPr="00427F3A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427F3A">
        <w:rPr>
          <w:rFonts w:eastAsia="Times New Roman"/>
          <w:sz w:val="24"/>
          <w:szCs w:val="24"/>
          <w:lang w:eastAsia="fr-FR"/>
        </w:rPr>
        <w:t>L’Association s’engage à présenter un compte-rendu détaillé de ses activités ainsi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qu’un bilan financier complet et un budget prévisionnel au Conseil municipal à la fin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de chaque exercice annuel.</w:t>
      </w:r>
    </w:p>
    <w:p w:rsidR="008F06CF" w:rsidRDefault="003D4F98" w:rsidP="003D4F98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b/>
          <w:sz w:val="24"/>
          <w:szCs w:val="24"/>
          <w:lang w:eastAsia="fr-FR"/>
        </w:rPr>
        <w:t>7. Durée de la convention</w:t>
      </w:r>
    </w:p>
    <w:p w:rsidR="008F06CF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Cette convention est conclue entre les deux parties pour une durée de cinq ans</w:t>
      </w:r>
      <w:proofErr w:type="gramStart"/>
      <w:r w:rsidRPr="00427F3A">
        <w:rPr>
          <w:rFonts w:eastAsia="Times New Roman"/>
          <w:sz w:val="24"/>
          <w:szCs w:val="24"/>
          <w:lang w:eastAsia="fr-FR"/>
        </w:rPr>
        <w:t>,</w:t>
      </w:r>
      <w:proofErr w:type="gramEnd"/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correspondant à la durée de conventionnement avec la Médiathèque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>départementale de Haute-Loire. Elle prend fin le 31 décembre 2027.</w:t>
      </w:r>
    </w:p>
    <w:p w:rsidR="00427F3A" w:rsidRDefault="00427F3A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:rsidR="00427F3A" w:rsidRDefault="003D4F98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427F3A">
        <w:rPr>
          <w:rFonts w:eastAsia="Times New Roman"/>
          <w:sz w:val="24"/>
          <w:szCs w:val="24"/>
          <w:lang w:eastAsia="fr-FR"/>
        </w:rPr>
        <w:t>En cas de désengagement, chacune des parties s’engage à prévenir l’autre par</w:t>
      </w:r>
      <w:r w:rsidR="00427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lettre recommandée avec accusé de réception, trois mois au moins avant</w:t>
      </w:r>
      <w:r w:rsidR="00427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27F3A">
        <w:rPr>
          <w:rFonts w:eastAsia="Times New Roman"/>
          <w:sz w:val="24"/>
          <w:szCs w:val="24"/>
          <w:lang w:eastAsia="fr-FR"/>
        </w:rPr>
        <w:t>l’échéance de reconduction de la présente convention.</w:t>
      </w:r>
    </w:p>
    <w:p w:rsidR="00427F3A" w:rsidRDefault="00427F3A" w:rsidP="008F06CF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:rsidR="003D4F98" w:rsidRPr="003D4F98" w:rsidRDefault="003D4F98" w:rsidP="008F06C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 xml:space="preserve">Fait à..................................... </w:t>
      </w:r>
      <w:r w:rsidR="00427F3A">
        <w:rPr>
          <w:rFonts w:eastAsia="Times New Roman"/>
          <w:sz w:val="24"/>
          <w:szCs w:val="24"/>
          <w:lang w:eastAsia="fr-FR"/>
        </w:rPr>
        <w:tab/>
      </w:r>
      <w:r w:rsidRPr="00427F3A">
        <w:rPr>
          <w:rFonts w:eastAsia="Times New Roman"/>
          <w:sz w:val="24"/>
          <w:szCs w:val="24"/>
          <w:lang w:eastAsia="fr-FR"/>
        </w:rPr>
        <w:t>Fait à.....................................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 xml:space="preserve">Le.......................................... </w:t>
      </w:r>
      <w:r w:rsidR="00427F3A">
        <w:rPr>
          <w:rFonts w:eastAsia="Times New Roman"/>
          <w:sz w:val="24"/>
          <w:szCs w:val="24"/>
          <w:lang w:eastAsia="fr-FR"/>
        </w:rPr>
        <w:tab/>
      </w:r>
      <w:r w:rsidRPr="00427F3A">
        <w:rPr>
          <w:rFonts w:eastAsia="Times New Roman"/>
          <w:sz w:val="24"/>
          <w:szCs w:val="24"/>
          <w:lang w:eastAsia="fr-FR"/>
        </w:rPr>
        <w:t>Le..........................................</w:t>
      </w:r>
      <w:r w:rsidRPr="003D4F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7F3A">
        <w:rPr>
          <w:rFonts w:eastAsia="Times New Roman"/>
          <w:sz w:val="24"/>
          <w:szCs w:val="24"/>
          <w:lang w:eastAsia="fr-FR"/>
        </w:rPr>
        <w:t xml:space="preserve">Le/ La Président/e de l’Association, </w:t>
      </w:r>
      <w:r w:rsidR="00427F3A">
        <w:rPr>
          <w:rFonts w:eastAsia="Times New Roman"/>
          <w:sz w:val="24"/>
          <w:szCs w:val="24"/>
          <w:lang w:eastAsia="fr-FR"/>
        </w:rPr>
        <w:tab/>
      </w:r>
      <w:r w:rsidRPr="00427F3A">
        <w:rPr>
          <w:rFonts w:eastAsia="Times New Roman"/>
          <w:sz w:val="24"/>
          <w:szCs w:val="24"/>
          <w:lang w:eastAsia="fr-FR"/>
        </w:rPr>
        <w:t>Le Maire,</w:t>
      </w:r>
    </w:p>
    <w:p w:rsidR="0087368C" w:rsidRPr="00427F3A" w:rsidRDefault="0087368C">
      <w:pPr>
        <w:rPr>
          <w:sz w:val="24"/>
          <w:szCs w:val="24"/>
        </w:rPr>
      </w:pPr>
    </w:p>
    <w:sectPr w:rsidR="0087368C" w:rsidRPr="0042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85B"/>
    <w:multiLevelType w:val="hybridMultilevel"/>
    <w:tmpl w:val="741236F6"/>
    <w:lvl w:ilvl="0" w:tplc="040C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E84488D"/>
    <w:multiLevelType w:val="hybridMultilevel"/>
    <w:tmpl w:val="19FC18B0"/>
    <w:lvl w:ilvl="0" w:tplc="D57694C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98"/>
    <w:rsid w:val="00000581"/>
    <w:rsid w:val="00282EB6"/>
    <w:rsid w:val="003D4F98"/>
    <w:rsid w:val="00427F3A"/>
    <w:rsid w:val="004C0731"/>
    <w:rsid w:val="00555F17"/>
    <w:rsid w:val="0087368C"/>
    <w:rsid w:val="008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10B30-FA5F-444F-9E24-2357978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3D4F98"/>
  </w:style>
  <w:style w:type="paragraph" w:styleId="Paragraphedeliste">
    <w:name w:val="List Paragraph"/>
    <w:basedOn w:val="Normal"/>
    <w:uiPriority w:val="34"/>
    <w:qFormat/>
    <w:rsid w:val="004C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Haute-Loire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MORINEAU-EBOLI Julia</dc:creator>
  <cp:keywords/>
  <dc:description/>
  <cp:lastModifiedBy>MORINEAU-EBOLI Julia</cp:lastModifiedBy>
  <cp:revision>2</cp:revision>
  <dcterms:created xsi:type="dcterms:W3CDTF">2023-03-20T13:01:00Z</dcterms:created>
  <dcterms:modified xsi:type="dcterms:W3CDTF">2023-03-20T13:01:00Z</dcterms:modified>
</cp:coreProperties>
</file>